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0E0AE" w14:textId="77777777" w:rsidR="00217BB0" w:rsidRPr="00217BB0" w:rsidRDefault="00217BB0" w:rsidP="00217BB0">
      <w:pPr>
        <w:pStyle w:val="Sansinterligne"/>
        <w:jc w:val="center"/>
        <w:rPr>
          <w:rFonts w:ascii="Tahoma" w:hAnsi="Tahoma" w:cs="Tahoma"/>
          <w:b/>
          <w:bCs/>
          <w:sz w:val="28"/>
          <w:szCs w:val="28"/>
        </w:rPr>
      </w:pPr>
      <w:r w:rsidRPr="00217BB0">
        <w:rPr>
          <w:rFonts w:ascii="Tahoma" w:hAnsi="Tahoma" w:cs="Tahoma"/>
          <w:b/>
          <w:bCs/>
          <w:sz w:val="28"/>
          <w:szCs w:val="28"/>
        </w:rPr>
        <w:t>Tournoi de tennis pour évêques et prêtres :</w:t>
      </w:r>
    </w:p>
    <w:p w14:paraId="6416AA9A" w14:textId="46C3278B" w:rsidR="00217BB0" w:rsidRPr="00217BB0" w:rsidRDefault="00217BB0" w:rsidP="00217BB0">
      <w:pPr>
        <w:pStyle w:val="Sansinterligne"/>
        <w:jc w:val="center"/>
        <w:rPr>
          <w:rFonts w:ascii="Tahoma" w:hAnsi="Tahoma" w:cs="Tahoma"/>
          <w:b/>
          <w:bCs/>
          <w:sz w:val="28"/>
          <w:szCs w:val="28"/>
        </w:rPr>
      </w:pPr>
      <w:proofErr w:type="gramStart"/>
      <w:r w:rsidRPr="00217BB0">
        <w:rPr>
          <w:rFonts w:ascii="Tahoma" w:hAnsi="Tahoma" w:cs="Tahoma"/>
          <w:b/>
          <w:bCs/>
          <w:sz w:val="28"/>
          <w:szCs w:val="28"/>
        </w:rPr>
        <w:t>c'est</w:t>
      </w:r>
      <w:proofErr w:type="gramEnd"/>
      <w:r w:rsidRPr="00217BB0">
        <w:rPr>
          <w:rFonts w:ascii="Tahoma" w:hAnsi="Tahoma" w:cs="Tahoma"/>
          <w:b/>
          <w:bCs/>
          <w:sz w:val="28"/>
          <w:szCs w:val="28"/>
        </w:rPr>
        <w:t xml:space="preserve"> celui qui sert qui gagne !</w:t>
      </w:r>
    </w:p>
    <w:p w14:paraId="561C99E1" w14:textId="77777777" w:rsidR="00217BB0" w:rsidRDefault="00217BB0" w:rsidP="00217BB0">
      <w:pPr>
        <w:pStyle w:val="Sansinterligne"/>
        <w:jc w:val="both"/>
        <w:rPr>
          <w:rFonts w:ascii="Tahoma" w:hAnsi="Tahoma" w:cs="Tahoma"/>
        </w:rPr>
      </w:pPr>
    </w:p>
    <w:p w14:paraId="4863C640" w14:textId="77777777" w:rsidR="00217BB0" w:rsidRDefault="00217BB0" w:rsidP="00217BB0">
      <w:pPr>
        <w:pStyle w:val="Sansinterligne"/>
        <w:jc w:val="both"/>
        <w:rPr>
          <w:rFonts w:ascii="Tahoma" w:hAnsi="Tahoma" w:cs="Tahoma"/>
        </w:rPr>
      </w:pPr>
    </w:p>
    <w:p w14:paraId="080FD9EB" w14:textId="7EEFAE31" w:rsidR="00217BB0" w:rsidRDefault="00217BB0" w:rsidP="00217BB0">
      <w:pPr>
        <w:pStyle w:val="Sansinterligne"/>
        <w:jc w:val="both"/>
        <w:rPr>
          <w:rFonts w:ascii="Tahoma" w:hAnsi="Tahoma" w:cs="Tahoma"/>
        </w:rPr>
      </w:pPr>
      <w:proofErr w:type="spellStart"/>
      <w:r w:rsidRPr="00217BB0">
        <w:rPr>
          <w:rFonts w:ascii="Tahoma" w:hAnsi="Tahoma" w:cs="Tahoma"/>
        </w:rPr>
        <w:t>Picchio</w:t>
      </w:r>
      <w:proofErr w:type="spellEnd"/>
      <w:r w:rsidRPr="00217BB0">
        <w:rPr>
          <w:rFonts w:ascii="Tahoma" w:hAnsi="Tahoma" w:cs="Tahoma"/>
        </w:rPr>
        <w:t xml:space="preserve"> News</w:t>
      </w:r>
      <w:r>
        <w:rPr>
          <w:rFonts w:ascii="Tahoma" w:hAnsi="Tahoma" w:cs="Tahoma"/>
        </w:rPr>
        <w:t xml:space="preserve"> - </w:t>
      </w:r>
      <w:r w:rsidRPr="00217BB0">
        <w:rPr>
          <w:rFonts w:ascii="Tahoma" w:hAnsi="Tahoma" w:cs="Tahoma"/>
        </w:rPr>
        <w:t xml:space="preserve">11/04/2018 </w:t>
      </w:r>
    </w:p>
    <w:p w14:paraId="64BC5E67" w14:textId="77777777" w:rsidR="00217BB0" w:rsidRDefault="00217BB0" w:rsidP="00217BB0">
      <w:pPr>
        <w:pStyle w:val="Sansinterligne"/>
        <w:jc w:val="both"/>
        <w:rPr>
          <w:rFonts w:ascii="Tahoma" w:hAnsi="Tahoma" w:cs="Tahoma"/>
        </w:rPr>
      </w:pPr>
    </w:p>
    <w:p w14:paraId="768CB9F5" w14:textId="77777777" w:rsidR="00217BB0" w:rsidRPr="00217BB0" w:rsidRDefault="00217BB0" w:rsidP="00217BB0">
      <w:pPr>
        <w:pStyle w:val="Sansinterligne"/>
        <w:jc w:val="both"/>
        <w:rPr>
          <w:rFonts w:ascii="Tahoma" w:hAnsi="Tahoma" w:cs="Tahoma"/>
        </w:rPr>
      </w:pPr>
    </w:p>
    <w:p w14:paraId="6327B7E7" w14:textId="77777777" w:rsidR="00217BB0" w:rsidRPr="00217BB0" w:rsidRDefault="00217BB0" w:rsidP="00217BB0">
      <w:pPr>
        <w:pStyle w:val="Sansinterligne"/>
        <w:jc w:val="both"/>
        <w:rPr>
          <w:rFonts w:ascii="Tahoma" w:hAnsi="Tahoma" w:cs="Tahoma"/>
        </w:rPr>
      </w:pPr>
      <w:r w:rsidRPr="00217BB0">
        <w:rPr>
          <w:rFonts w:ascii="Tahoma" w:hAnsi="Tahoma" w:cs="Tahoma"/>
        </w:rPr>
        <w:t xml:space="preserve">« C'EST CELUI QUI SERVE QUI GAGNE », le tournoi européen de tennis pour évêques, prêtres et diacres, événement qui s’est déroulé pour la première fois en Italie à </w:t>
      </w:r>
      <w:proofErr w:type="spellStart"/>
      <w:r w:rsidRPr="00217BB0">
        <w:rPr>
          <w:rFonts w:ascii="Tahoma" w:hAnsi="Tahoma" w:cs="Tahoma"/>
        </w:rPr>
        <w:t>Recanati</w:t>
      </w:r>
      <w:proofErr w:type="spellEnd"/>
      <w:r w:rsidRPr="00217BB0">
        <w:rPr>
          <w:rFonts w:ascii="Tahoma" w:hAnsi="Tahoma" w:cs="Tahoma"/>
        </w:rPr>
        <w:t xml:space="preserve"> et Loreto, sous le patronage des communes du même nom, du Centre Jean-Paul II de Loreto, du Dicastère pontifical pour les laïcs, la famille et la vie et du Bureau pour la pastorale des loisirs, du tourisme et du sport de la Conférence épiscopale italienne. Lors de la journée d’inauguration, en présence de l’archevêque de Loreto, Mgr Fabio dal Cin, du maire de Loreto, Paolo Nicoletti, et de l’avocat Brunetti de Tennis Europe, le coup d’envoi des compétitions a été donné au club de tennis « Francesco Guzzini ». Quatre catégories sont en compétition : Open, Over 45, Over 55 et Over 65, et les participants proviennent de quatre nationalités différentes : la Pologne (qui compte quinze ans d’expérience dans ce sport), la Slovaquie, la République tchèque et l’Italie. Un seul Italien en demi-finale, Andrea Baldoni de </w:t>
      </w:r>
      <w:proofErr w:type="spellStart"/>
      <w:r w:rsidRPr="00217BB0">
        <w:rPr>
          <w:rFonts w:ascii="Tahoma" w:hAnsi="Tahoma" w:cs="Tahoma"/>
        </w:rPr>
        <w:t>Senigallia</w:t>
      </w:r>
      <w:proofErr w:type="spellEnd"/>
      <w:r w:rsidRPr="00217BB0">
        <w:rPr>
          <w:rFonts w:ascii="Tahoma" w:hAnsi="Tahoma" w:cs="Tahoma"/>
        </w:rPr>
        <w:t xml:space="preserve">, tandis que l’évêque de </w:t>
      </w:r>
      <w:proofErr w:type="spellStart"/>
      <w:r w:rsidRPr="00217BB0">
        <w:rPr>
          <w:rFonts w:ascii="Tahoma" w:hAnsi="Tahoma" w:cs="Tahoma"/>
        </w:rPr>
        <w:t>Senigallia</w:t>
      </w:r>
      <w:proofErr w:type="spellEnd"/>
      <w:r w:rsidRPr="00217BB0">
        <w:rPr>
          <w:rFonts w:ascii="Tahoma" w:hAnsi="Tahoma" w:cs="Tahoma"/>
        </w:rPr>
        <w:t>, Mgr Franco Manenti, participe aux demi-finales du double. Les finales du tournoi sont prévues demain.</w:t>
      </w:r>
    </w:p>
    <w:p w14:paraId="05C70737" w14:textId="77777777" w:rsidR="00217BB0" w:rsidRPr="00217BB0" w:rsidRDefault="00217BB0" w:rsidP="00217BB0">
      <w:pPr>
        <w:pStyle w:val="Sansinterligne"/>
        <w:jc w:val="both"/>
        <w:rPr>
          <w:rFonts w:ascii="Tahoma" w:hAnsi="Tahoma" w:cs="Tahoma"/>
        </w:rPr>
      </w:pPr>
    </w:p>
    <w:p w14:paraId="3F6C8AD8" w14:textId="77777777" w:rsidR="00217BB0" w:rsidRPr="00217BB0" w:rsidRDefault="00217BB0" w:rsidP="00217BB0">
      <w:pPr>
        <w:pStyle w:val="Sansinterligne"/>
        <w:jc w:val="both"/>
        <w:rPr>
          <w:rFonts w:ascii="Tahoma" w:hAnsi="Tahoma" w:cs="Tahoma"/>
        </w:rPr>
      </w:pPr>
      <w:r w:rsidRPr="00217BB0">
        <w:rPr>
          <w:rFonts w:ascii="Tahoma" w:hAnsi="Tahoma" w:cs="Tahoma"/>
        </w:rPr>
        <w:t xml:space="preserve">L’objectif de « Vince chi serve » est expliqué par l’un des organisateurs du tournoi, Don Francesco Pierpaoli : « Réunir les caractéristiques du tennis et celles du chrétien, et donc du prêtre. Nous devons toutefois constater que dans le tennis comme dans la vie, ce n’est pas toujours le cas : dans ce contexte, nous, les prêtres, nous osons dire que le « service » « gagne » toujours et en tout cas, au-delà du résultat immédiat lié aux fragilités et aux faiblesses. En témoignent la fraternité et l’amitié qui sont au cœur de l’expérience de ces journées que nous passons entre Loreto, gardienne de la Maison de Marie, et </w:t>
      </w:r>
      <w:proofErr w:type="spellStart"/>
      <w:r w:rsidRPr="00217BB0">
        <w:rPr>
          <w:rFonts w:ascii="Tahoma" w:hAnsi="Tahoma" w:cs="Tahoma"/>
        </w:rPr>
        <w:t>Recanati</w:t>
      </w:r>
      <w:proofErr w:type="spellEnd"/>
      <w:r w:rsidRPr="00217BB0">
        <w:rPr>
          <w:rFonts w:ascii="Tahoma" w:hAnsi="Tahoma" w:cs="Tahoma"/>
        </w:rPr>
        <w:t xml:space="preserve">, gardienne du Colle </w:t>
      </w:r>
      <w:proofErr w:type="spellStart"/>
      <w:r w:rsidRPr="00217BB0">
        <w:rPr>
          <w:rFonts w:ascii="Tahoma" w:hAnsi="Tahoma" w:cs="Tahoma"/>
        </w:rPr>
        <w:t>dell’Infinito</w:t>
      </w:r>
      <w:proofErr w:type="spellEnd"/>
      <w:r w:rsidRPr="00217BB0">
        <w:rPr>
          <w:rFonts w:ascii="Tahoma" w:hAnsi="Tahoma" w:cs="Tahoma"/>
        </w:rPr>
        <w:t xml:space="preserve"> ».</w:t>
      </w:r>
    </w:p>
    <w:p w14:paraId="42174D58" w14:textId="77777777" w:rsidR="00217BB0" w:rsidRPr="00217BB0" w:rsidRDefault="00217BB0" w:rsidP="00217BB0">
      <w:pPr>
        <w:pStyle w:val="Sansinterligne"/>
        <w:jc w:val="both"/>
        <w:rPr>
          <w:rFonts w:ascii="Tahoma" w:hAnsi="Tahoma" w:cs="Tahoma"/>
        </w:rPr>
      </w:pPr>
    </w:p>
    <w:p w14:paraId="12FF10BF" w14:textId="77777777" w:rsidR="00217BB0" w:rsidRPr="00217BB0" w:rsidRDefault="00217BB0" w:rsidP="00217BB0">
      <w:pPr>
        <w:pStyle w:val="Sansinterligne"/>
        <w:jc w:val="both"/>
        <w:rPr>
          <w:rFonts w:ascii="Tahoma" w:hAnsi="Tahoma" w:cs="Tahoma"/>
        </w:rPr>
      </w:pPr>
      <w:r w:rsidRPr="00217BB0">
        <w:rPr>
          <w:rFonts w:ascii="Tahoma" w:hAnsi="Tahoma" w:cs="Tahoma"/>
        </w:rPr>
        <w:t xml:space="preserve">Le programme religieux prévoit une veillée de prière à la Sainte Maison de Loreto ; les célébrations eucharistiques dans la basilique de la Sainte Maison, présidées par l’archevêque de Loreto, S.E. Mgr Fabio Dal Cin, et dans la chapelle Sainte-Anne à </w:t>
      </w:r>
      <w:proofErr w:type="spellStart"/>
      <w:r w:rsidRPr="00217BB0">
        <w:rPr>
          <w:rFonts w:ascii="Tahoma" w:hAnsi="Tahoma" w:cs="Tahoma"/>
        </w:rPr>
        <w:t>Recanati</w:t>
      </w:r>
      <w:proofErr w:type="spellEnd"/>
      <w:r w:rsidRPr="00217BB0">
        <w:rPr>
          <w:rFonts w:ascii="Tahoma" w:hAnsi="Tahoma" w:cs="Tahoma"/>
        </w:rPr>
        <w:t xml:space="preserve">, présidées par l’évêque de Macerata, S.E. Mgr Nazzareno Marconi. Le jeudi 12 avril, au Centre Jean-Paul II, la messe sera célébrée par l’évêque de </w:t>
      </w:r>
      <w:proofErr w:type="spellStart"/>
      <w:r w:rsidRPr="00217BB0">
        <w:rPr>
          <w:rFonts w:ascii="Tahoma" w:hAnsi="Tahoma" w:cs="Tahoma"/>
        </w:rPr>
        <w:t>Senigallia</w:t>
      </w:r>
      <w:proofErr w:type="spellEnd"/>
      <w:r w:rsidRPr="00217BB0">
        <w:rPr>
          <w:rFonts w:ascii="Tahoma" w:hAnsi="Tahoma" w:cs="Tahoma"/>
        </w:rPr>
        <w:t xml:space="preserve">, S.E. Mgr Franco Manenti, tandis que la remise des prix est prévue à l’Auditorium du Centre mondial de la poésie, une soirée qui sera également l’occasion de mieux connaître la ville de </w:t>
      </w:r>
      <w:proofErr w:type="spellStart"/>
      <w:r w:rsidRPr="00217BB0">
        <w:rPr>
          <w:rFonts w:ascii="Tahoma" w:hAnsi="Tahoma" w:cs="Tahoma"/>
        </w:rPr>
        <w:t>Recanati</w:t>
      </w:r>
      <w:proofErr w:type="spellEnd"/>
      <w:r w:rsidRPr="00217BB0">
        <w:rPr>
          <w:rFonts w:ascii="Tahoma" w:hAnsi="Tahoma" w:cs="Tahoma"/>
        </w:rPr>
        <w:t>.</w:t>
      </w:r>
    </w:p>
    <w:p w14:paraId="2422B924" w14:textId="0FC6F43A" w:rsidR="000575D1" w:rsidRPr="00217BB0" w:rsidRDefault="000575D1" w:rsidP="00217BB0">
      <w:pPr>
        <w:pStyle w:val="Sansinterligne"/>
        <w:jc w:val="both"/>
        <w:rPr>
          <w:rFonts w:ascii="Tahoma" w:hAnsi="Tahoma" w:cs="Tahoma"/>
        </w:rPr>
      </w:pPr>
    </w:p>
    <w:sectPr w:rsidR="000575D1" w:rsidRPr="00217BB0" w:rsidSect="00217B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BB7"/>
    <w:rsid w:val="000575D1"/>
    <w:rsid w:val="00217BB0"/>
    <w:rsid w:val="00242BB7"/>
    <w:rsid w:val="003725CD"/>
    <w:rsid w:val="005E65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A8410"/>
  <w15:chartTrackingRefBased/>
  <w15:docId w15:val="{ED66C330-99C9-4504-9D87-2478D9EB4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42B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42B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42BB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42BB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42BB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42BB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42BB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42BB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42BB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42BB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42BB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42BB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42BB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42BB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42BB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42BB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42BB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42BB7"/>
    <w:rPr>
      <w:rFonts w:eastAsiaTheme="majorEastAsia" w:cstheme="majorBidi"/>
      <w:color w:val="272727" w:themeColor="text1" w:themeTint="D8"/>
    </w:rPr>
  </w:style>
  <w:style w:type="paragraph" w:styleId="Titre">
    <w:name w:val="Title"/>
    <w:basedOn w:val="Normal"/>
    <w:next w:val="Normal"/>
    <w:link w:val="TitreCar"/>
    <w:uiPriority w:val="10"/>
    <w:qFormat/>
    <w:rsid w:val="00242B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42BB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42BB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42BB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42BB7"/>
    <w:pPr>
      <w:spacing w:before="160"/>
      <w:jc w:val="center"/>
    </w:pPr>
    <w:rPr>
      <w:i/>
      <w:iCs/>
      <w:color w:val="404040" w:themeColor="text1" w:themeTint="BF"/>
    </w:rPr>
  </w:style>
  <w:style w:type="character" w:customStyle="1" w:styleId="CitationCar">
    <w:name w:val="Citation Car"/>
    <w:basedOn w:val="Policepardfaut"/>
    <w:link w:val="Citation"/>
    <w:uiPriority w:val="29"/>
    <w:rsid w:val="00242BB7"/>
    <w:rPr>
      <w:i/>
      <w:iCs/>
      <w:color w:val="404040" w:themeColor="text1" w:themeTint="BF"/>
    </w:rPr>
  </w:style>
  <w:style w:type="paragraph" w:styleId="Paragraphedeliste">
    <w:name w:val="List Paragraph"/>
    <w:basedOn w:val="Normal"/>
    <w:uiPriority w:val="34"/>
    <w:qFormat/>
    <w:rsid w:val="00242BB7"/>
    <w:pPr>
      <w:ind w:left="720"/>
      <w:contextualSpacing/>
    </w:pPr>
  </w:style>
  <w:style w:type="character" w:styleId="Accentuationintense">
    <w:name w:val="Intense Emphasis"/>
    <w:basedOn w:val="Policepardfaut"/>
    <w:uiPriority w:val="21"/>
    <w:qFormat/>
    <w:rsid w:val="00242BB7"/>
    <w:rPr>
      <w:i/>
      <w:iCs/>
      <w:color w:val="0F4761" w:themeColor="accent1" w:themeShade="BF"/>
    </w:rPr>
  </w:style>
  <w:style w:type="paragraph" w:styleId="Citationintense">
    <w:name w:val="Intense Quote"/>
    <w:basedOn w:val="Normal"/>
    <w:next w:val="Normal"/>
    <w:link w:val="CitationintenseCar"/>
    <w:uiPriority w:val="30"/>
    <w:qFormat/>
    <w:rsid w:val="00242B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42BB7"/>
    <w:rPr>
      <w:i/>
      <w:iCs/>
      <w:color w:val="0F4761" w:themeColor="accent1" w:themeShade="BF"/>
    </w:rPr>
  </w:style>
  <w:style w:type="character" w:styleId="Rfrenceintense">
    <w:name w:val="Intense Reference"/>
    <w:basedOn w:val="Policepardfaut"/>
    <w:uiPriority w:val="32"/>
    <w:qFormat/>
    <w:rsid w:val="00242BB7"/>
    <w:rPr>
      <w:b/>
      <w:bCs/>
      <w:smallCaps/>
      <w:color w:val="0F4761" w:themeColor="accent1" w:themeShade="BF"/>
      <w:spacing w:val="5"/>
    </w:rPr>
  </w:style>
  <w:style w:type="paragraph" w:styleId="Sansinterligne">
    <w:name w:val="No Spacing"/>
    <w:uiPriority w:val="1"/>
    <w:qFormat/>
    <w:rsid w:val="00217B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2113</Characters>
  <Application>Microsoft Office Word</Application>
  <DocSecurity>0</DocSecurity>
  <Lines>37</Lines>
  <Paragraphs>14</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2026-03-24T09:38:00Z</dcterms:created>
  <dcterms:modified xsi:type="dcterms:W3CDTF">2026-03-24T09:39:00Z</dcterms:modified>
</cp:coreProperties>
</file>